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F582" w14:textId="77777777" w:rsidR="00957536" w:rsidRPr="00105C0B" w:rsidRDefault="00957536" w:rsidP="00957536">
      <w:pPr>
        <w:pStyle w:val="3"/>
        <w:spacing w:before="22" w:line="276" w:lineRule="auto"/>
        <w:ind w:left="232"/>
        <w:rPr>
          <w:color w:val="002060"/>
          <w:sz w:val="22"/>
          <w:szCs w:val="22"/>
        </w:rPr>
      </w:pPr>
      <w:bookmarkStart w:id="0" w:name="_Toc194673836"/>
      <w:bookmarkStart w:id="1" w:name="_Toc195706058"/>
      <w:bookmarkStart w:id="2" w:name="_Toc224730928"/>
      <w:r w:rsidRPr="00937B4C">
        <w:rPr>
          <w:color w:val="002060"/>
          <w:sz w:val="22"/>
          <w:szCs w:val="22"/>
        </w:rPr>
        <w:t>ΠΑΡΑΡΤΗΜΑ II ΠΙΝΑΚΑΣ ΣΥΜΜΟΡΦΩΣΗΣ</w:t>
      </w:r>
      <w:bookmarkEnd w:id="0"/>
      <w:bookmarkEnd w:id="1"/>
      <w:bookmarkEnd w:id="2"/>
    </w:p>
    <w:tbl>
      <w:tblPr>
        <w:tblW w:w="83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8"/>
        <w:gridCol w:w="2895"/>
        <w:gridCol w:w="1363"/>
        <w:gridCol w:w="1532"/>
        <w:gridCol w:w="1757"/>
      </w:tblGrid>
      <w:tr w:rsidR="00957536" w:rsidRPr="00105C0B" w14:paraId="05B423C0" w14:textId="77777777" w:rsidTr="00741759">
        <w:trPr>
          <w:trHeight w:val="795"/>
        </w:trPr>
        <w:tc>
          <w:tcPr>
            <w:tcW w:w="83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76AAC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b/>
                <w:bCs/>
                <w:lang w:val="el"/>
              </w:rPr>
              <w:t>1</w:t>
            </w:r>
            <w:r w:rsidRPr="00105C0B">
              <w:rPr>
                <w:rFonts w:asciiTheme="minorHAnsi" w:eastAsia="Times New Roman" w:hAnsiTheme="minorHAnsi" w:cs="Times New Roman"/>
                <w:b/>
                <w:bCs/>
                <w:lang w:val="el"/>
              </w:rPr>
              <w:t>. Εξοπλισμός</w:t>
            </w:r>
          </w:p>
        </w:tc>
      </w:tr>
      <w:tr w:rsidR="00957536" w:rsidRPr="00105C0B" w14:paraId="31F7155D" w14:textId="77777777" w:rsidTr="00741759">
        <w:trPr>
          <w:trHeight w:val="69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C395D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A/A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1A2F7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ΓΕΝΙΚΕΣ ΠΡΟΔΙΑΓΡΑΦΕΣ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5B31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ΑΠΑΙΤΗΣΗ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3B578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ΑΠΑΝΤΗΣΗ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5A711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ΠΑΡΑΠΟΜΠΕΣ / ΣΧΟΛΙΑ</w:t>
            </w:r>
          </w:p>
        </w:tc>
      </w:tr>
      <w:tr w:rsidR="00957536" w:rsidRPr="00105C0B" w14:paraId="37DACACC" w14:textId="77777777" w:rsidTr="00741759">
        <w:trPr>
          <w:trHeight w:val="123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B509F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1.1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0DAAC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Ο εξοπλισμός που θα προσφερθεί να είναι καινούριος. Ο εξοπλισμός να είναι σε εγγύηση από τον κατασκευαστή τουλάχιστον για δύο (2) έτη, εκτός κι αν περι</w:t>
            </w:r>
            <w:r>
              <w:rPr>
                <w:rFonts w:asciiTheme="minorHAnsi" w:eastAsia="Times New Roman" w:hAnsiTheme="minorHAnsi" w:cs="Times New Roman"/>
                <w:lang w:val="el"/>
              </w:rPr>
              <w:t>γράφεται ειδικώς ανά εξοπλισμό.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1DC83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57A3C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F382B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</w:tr>
      <w:tr w:rsidR="00957536" w:rsidRPr="00105C0B" w14:paraId="22D8EFDD" w14:textId="77777777" w:rsidTr="00741759">
        <w:trPr>
          <w:trHeight w:val="123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2D3A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1.2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E2B20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Ο εξοπλισμός να εγκατασταθεί σε</w:t>
            </w:r>
            <w:r>
              <w:rPr>
                <w:rFonts w:asciiTheme="minorHAnsi" w:eastAsia="Times New Roman" w:hAnsiTheme="minorHAnsi" w:cs="Times New Roman"/>
                <w:lang w:val="el"/>
              </w:rPr>
              <w:t xml:space="preserve"> χώρους της Αναθέτουσας Αρχής. 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9175B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1E8C3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B2721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</w:tr>
      <w:tr w:rsidR="00957536" w:rsidRPr="00105C0B" w14:paraId="271DE0CF" w14:textId="77777777" w:rsidTr="00741759">
        <w:trPr>
          <w:trHeight w:val="96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6B7B7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1.3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2DDCB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Ο εξοπλισμός να συνοδεύεται με εγχειρίδια χρήσης.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3876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DEE95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6894C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</w:tr>
      <w:tr w:rsidR="00957536" w:rsidRPr="00105C0B" w14:paraId="6A18B01F" w14:textId="77777777" w:rsidTr="00741759">
        <w:trPr>
          <w:trHeight w:val="96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6218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2.1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0A742" w14:textId="77777777" w:rsidR="00957536" w:rsidRPr="00CC6B7C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CC6B7C">
              <w:rPr>
                <w:rFonts w:asciiTheme="minorHAnsi" w:eastAsia="Times New Roman" w:hAnsiTheme="minorHAnsi" w:cs="Times New Roman"/>
                <w:lang w:val="el"/>
              </w:rPr>
              <w:t>Τρία (3) προβο</w:t>
            </w:r>
            <w:r>
              <w:rPr>
                <w:rFonts w:asciiTheme="minorHAnsi" w:eastAsia="Times New Roman" w:hAnsiTheme="minorHAnsi" w:cs="Times New Roman"/>
                <w:lang w:val="el"/>
              </w:rPr>
              <w:t>λικά συστήματα τεχνολογίας</w:t>
            </w:r>
            <w:r w:rsidRPr="00CC6B7C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  <w:proofErr w:type="spellStart"/>
            <w:r w:rsidRPr="00CC6B7C">
              <w:rPr>
                <w:rFonts w:asciiTheme="minorHAnsi" w:eastAsia="Times New Roman" w:hAnsiTheme="minorHAnsi" w:cs="Times New Roman"/>
                <w:lang w:val="el"/>
              </w:rPr>
              <w:t>short</w:t>
            </w:r>
            <w:proofErr w:type="spellEnd"/>
            <w:r w:rsidRPr="00CC6B7C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  <w:proofErr w:type="spellStart"/>
            <w:r w:rsidRPr="00CC6B7C">
              <w:rPr>
                <w:rFonts w:asciiTheme="minorHAnsi" w:eastAsia="Times New Roman" w:hAnsiTheme="minorHAnsi" w:cs="Times New Roman"/>
                <w:lang w:val="el"/>
              </w:rPr>
              <w:t>throw</w:t>
            </w:r>
            <w:proofErr w:type="spellEnd"/>
            <w:r w:rsidRPr="00CC6B7C">
              <w:rPr>
                <w:rFonts w:asciiTheme="minorHAnsi" w:eastAsia="Times New Roman" w:hAnsiTheme="minorHAnsi" w:cs="Times New Roman"/>
                <w:lang w:val="el"/>
              </w:rPr>
              <w:t xml:space="preserve">, </w:t>
            </w:r>
            <w:r w:rsidRPr="00DA2558">
              <w:rPr>
                <w:rFonts w:asciiTheme="minorHAnsi" w:eastAsia="Times New Roman" w:hAnsiTheme="minorHAnsi" w:cs="Times New Roman"/>
                <w:lang w:val="el"/>
              </w:rPr>
              <w:t>ανάλυσης</w:t>
            </w:r>
            <w:r w:rsidRPr="00CC6B7C">
              <w:rPr>
                <w:rFonts w:asciiTheme="minorHAnsi" w:eastAsia="Times New Roman" w:hAnsiTheme="minorHAnsi" w:cs="Times New Roman"/>
                <w:lang w:val="el"/>
              </w:rPr>
              <w:t xml:space="preserve"> ≥4K,  με δυνατότητα αυτόματης ή χειροκίνητης διόρθωσης </w:t>
            </w:r>
            <w:proofErr w:type="spellStart"/>
            <w:r w:rsidRPr="00CC6B7C">
              <w:rPr>
                <w:rFonts w:asciiTheme="minorHAnsi" w:eastAsia="Times New Roman" w:hAnsiTheme="minorHAnsi" w:cs="Times New Roman"/>
                <w:lang w:val="el"/>
              </w:rPr>
              <w:t>keystone</w:t>
            </w:r>
            <w:proofErr w:type="spellEnd"/>
            <w:r w:rsidRPr="00CC6B7C">
              <w:rPr>
                <w:rFonts w:asciiTheme="minorHAnsi" w:eastAsia="Times New Roman" w:hAnsiTheme="minorHAnsi" w:cs="Times New Roman"/>
                <w:lang w:val="el"/>
              </w:rPr>
              <w:t>, συνδεσιμότητα HDMI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74CE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6D6E8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F5479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</w:tr>
      <w:tr w:rsidR="00957536" w:rsidRPr="00105C0B" w14:paraId="005166CC" w14:textId="77777777" w:rsidTr="00741759">
        <w:trPr>
          <w:trHeight w:val="2325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9935E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2.2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74B85" w14:textId="77777777" w:rsidR="00957536" w:rsidRPr="00105C0B" w:rsidRDefault="00957536" w:rsidP="00741759">
            <w:pPr>
              <w:spacing w:before="240" w:after="240" w:line="276" w:lineRule="auto"/>
              <w:jc w:val="both"/>
              <w:rPr>
                <w:rFonts w:asciiTheme="minorHAnsi" w:eastAsia="Arial" w:hAnsiTheme="minorHAnsi" w:cs="Arial"/>
              </w:rPr>
            </w:pPr>
            <w:r w:rsidRPr="00F934AA">
              <w:rPr>
                <w:rFonts w:asciiTheme="minorHAnsi" w:eastAsia="Arial" w:hAnsiTheme="minorHAnsi" w:cs="Arial"/>
              </w:rPr>
              <w:t xml:space="preserve">Μία (1) κεντρική μονάδα υπολογιστή, ικανή για ταυτόχρονη παραγωγή δύο ανεξάρτητων σημάτων 4K, με CPU επιδόσεων ≥ i7-13700 / R7-7700 ή καλύτερα, GPU ≥ RTX 4070 ή καλύτερη, RAM DDR5 ≥32 GB, αποθήκευση </w:t>
            </w:r>
            <w:proofErr w:type="spellStart"/>
            <w:r w:rsidRPr="00F934AA">
              <w:rPr>
                <w:rFonts w:asciiTheme="minorHAnsi" w:eastAsia="Arial" w:hAnsiTheme="minorHAnsi" w:cs="Arial"/>
              </w:rPr>
              <w:t>NVMe</w:t>
            </w:r>
            <w:proofErr w:type="spellEnd"/>
            <w:r w:rsidRPr="00F934AA">
              <w:rPr>
                <w:rFonts w:asciiTheme="minorHAnsi" w:eastAsia="Arial" w:hAnsiTheme="minorHAnsi" w:cs="Arial"/>
              </w:rPr>
              <w:t xml:space="preserve"> SSD ≥500 GB, ≥2×USB 3.2, και διπλές εξόδους 4K (HDMI 2.1 </w:t>
            </w:r>
            <w:r w:rsidRPr="00F934AA">
              <w:rPr>
                <w:rFonts w:asciiTheme="minorHAnsi" w:eastAsia="Arial" w:hAnsiTheme="minorHAnsi" w:cs="Arial"/>
              </w:rPr>
              <w:lastRenderedPageBreak/>
              <w:t xml:space="preserve">/ </w:t>
            </w:r>
            <w:proofErr w:type="spellStart"/>
            <w:r w:rsidRPr="00F934AA">
              <w:rPr>
                <w:rFonts w:asciiTheme="minorHAnsi" w:eastAsia="Arial" w:hAnsiTheme="minorHAnsi" w:cs="Arial"/>
              </w:rPr>
              <w:t>DisplayPort</w:t>
            </w:r>
            <w:proofErr w:type="spellEnd"/>
            <w:r w:rsidRPr="00F934AA">
              <w:rPr>
                <w:rFonts w:asciiTheme="minorHAnsi" w:eastAsia="Arial" w:hAnsiTheme="minorHAnsi" w:cs="Arial"/>
              </w:rPr>
              <w:t xml:space="preserve"> 1.4).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92D5E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lastRenderedPageBreak/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E593F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2A785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</w:tr>
      <w:tr w:rsidR="00957536" w:rsidRPr="00105C0B" w14:paraId="39FC1499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14C8B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2.3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23F52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Δύο (2)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sensors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  βάθους (RGB-D) με ενεργό στερεοσκοπικό βάθος έως 1280×720 σε έως 90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fps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>, διαγώνιο FOV ≥80°, εμβέλεια ≥7 m, και ενσωματωμένο πολωτικό φίλτρο IR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41850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581A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B3C7A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 xml:space="preserve"> </w:t>
            </w:r>
          </w:p>
        </w:tc>
      </w:tr>
      <w:tr w:rsidR="00957536" w:rsidRPr="00105C0B" w14:paraId="12D0A97D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F0A3A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2.4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801F9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Πέντε (5)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tablets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 με οθόνη ≥11", ανάλυση ≥1920×1200,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οκταπύρηνο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 επεξεργαστή, μνήμη RAM ≥4 GB, αποθηκευτικό χώρο ≥64 GB με δυνατότητα επέκτασης μέσω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micro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 SD, συνδεσιμότητα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Wi-Fi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, εμπρόσθια και οπίσθια κάμερα, στερεοφωνικά ηχεία, υποστήριξη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Depth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 API, λειτουργικό σύστημα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Android</w:t>
            </w:r>
            <w:proofErr w:type="spellEnd"/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0A26C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3D177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79FF7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  <w:tr w:rsidR="00957536" w:rsidRPr="00105C0B" w14:paraId="0FF52EB3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2E378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2.5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D623E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Τέσσερεις (4) Οθόνες υψηλής ανάλυσης | Διαγώνιος ≥ 60”, ανάλυση 4K QLED ή ισοδύναμο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panel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, δυνατότητα συνεχούς λειτουργίας,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αντιθαμβωτική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 επίστρωση οθόνης, Αισθητήρας φωτεινότητας χώρου με αυτόματη ρύθμιση φωτεινότητας, Σύστημα χρωματικής διαχείρισης / βαθμονόμησης, ελάχιστο </w:t>
            </w:r>
            <w:r w:rsidRPr="00F934AA">
              <w:rPr>
                <w:rFonts w:asciiTheme="minorHAnsi" w:eastAsia="Times New Roman" w:hAnsiTheme="minorHAnsi" w:cs="Times New Roman"/>
                <w:lang w:val="el"/>
              </w:rPr>
              <w:lastRenderedPageBreak/>
              <w:t>διάκενο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E8A5D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lastRenderedPageBreak/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EE136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29CC5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  <w:tr w:rsidR="00957536" w:rsidRPr="00105C0B" w14:paraId="1440EDE5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D498A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2.6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B1C09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Δέκα (10) προβολείς υψηλής φωτεινότητας ≥8.000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lumens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 xml:space="preserve">, ανάλυση ≥1920 x 1200, αντίθεση τουλάχιστον 5,000,000 : 1, διάρκεια ζωής φωτεινής πηγής τουλάχιστον 20.000 ώρες, δυνατότητα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  <w:lang w:val="el"/>
              </w:rPr>
              <w:t>edge-blending</w:t>
            </w:r>
            <w:proofErr w:type="spellEnd"/>
            <w:r w:rsidRPr="00F934AA">
              <w:rPr>
                <w:rFonts w:asciiTheme="minorHAnsi" w:eastAsia="Times New Roman" w:hAnsiTheme="minorHAnsi" w:cs="Times New Roman"/>
                <w:lang w:val="el"/>
              </w:rPr>
              <w:t>, υποστήριξη συνεχούς λειτουργίας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F4422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5B566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CFD5E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  <w:tr w:rsidR="00957536" w:rsidRPr="00105C0B" w14:paraId="6250B9DB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32FA7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2.7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7DBC2" w14:textId="77777777" w:rsidR="00957536" w:rsidRPr="00DA2558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F934AA">
              <w:rPr>
                <w:rFonts w:asciiTheme="minorHAnsi" w:eastAsia="Times New Roman" w:hAnsiTheme="minorHAnsi" w:cs="Times New Roman"/>
              </w:rPr>
              <w:t xml:space="preserve">Ένα (1) σύστημα </w:t>
            </w:r>
            <w:proofErr w:type="spellStart"/>
            <w:r w:rsidRPr="00F934AA">
              <w:rPr>
                <w:rFonts w:asciiTheme="minorHAnsi" w:eastAsia="Times New Roman" w:hAnsiTheme="minorHAnsi" w:cs="Times New Roman"/>
              </w:rPr>
              <w:t>Media</w:t>
            </w:r>
            <w:proofErr w:type="spellEnd"/>
            <w:r w:rsidRPr="00F934AA">
              <w:rPr>
                <w:rFonts w:asciiTheme="minorHAnsi" w:eastAsia="Times New Roman" w:hAnsiTheme="minorHAnsi" w:cs="Times New Roman"/>
              </w:rPr>
              <w:t xml:space="preserve"> Server / Workstation για προβολικά συστήματα, ικανό για ταυτόχρονη έξοδο και διαχείριση ≥10 ανεξάρτητων σημάτων βίντεο υψηλής ανάλυσης, συνδεσιμότητα για συγχρονισμό πολλαπλών προβολών, και λογισμικό για συγχρονισμένη αναπαραγωγή περιεχομένου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65CE6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6989A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93CDC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  <w:tr w:rsidR="00957536" w:rsidRPr="00105C0B" w14:paraId="6B955A48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030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2.8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B7EFB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lang w:val="el"/>
              </w:rPr>
              <w:t>Δέκα</w:t>
            </w:r>
            <w:r>
              <w:rPr>
                <w:rFonts w:asciiTheme="minorHAnsi" w:eastAsia="Times New Roman" w:hAnsiTheme="minorHAnsi" w:cs="Times New Roman"/>
              </w:rPr>
              <w:t xml:space="preserve"> (10</w:t>
            </w:r>
            <w:r w:rsidRPr="00DA2558">
              <w:rPr>
                <w:rFonts w:asciiTheme="minorHAnsi" w:eastAsia="Times New Roman" w:hAnsiTheme="minorHAnsi" w:cs="Times New Roman"/>
              </w:rPr>
              <w:t xml:space="preserve">) ενεργά ηχεία δύο δρόμων τύπου PA, με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woofer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≥10" και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compression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driver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≥1", ενσωματωμένο ενισχυτή συνολικής ισχύος ≥200 W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peak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, μέγιστο SPL ≥110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dB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>, ισορροπημένες εισόδους XLR/TRS, δυνατότητα τοποθέτησης σε βάση ή επιτοίχια στήριξη.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32472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A0B45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F3872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  <w:tr w:rsidR="00957536" w:rsidRPr="00105C0B" w14:paraId="66A774D3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5796F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lastRenderedPageBreak/>
              <w:t>2.9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08C23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</w:rPr>
            </w:pPr>
            <w:r w:rsidRPr="00DA2558">
              <w:rPr>
                <w:rFonts w:asciiTheme="minorHAnsi" w:eastAsia="Times New Roman" w:hAnsiTheme="minorHAnsi" w:cs="Times New Roman"/>
              </w:rPr>
              <w:t xml:space="preserve">Δύο (2)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υπογούφερ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(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subwoofer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), ενεργά, με διάμετρο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μεγαφώνου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≥15", ενσωματωμένο ενισχυτή ισχύος ≥300 W RMS, απόκριση συχνοτήτων εκτεταμένη έως ≤45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Hz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, μέγιστο SPL ≥125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dB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>, εισόδους/εξόδους XLR.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CFB60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ΝΑΙ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4517D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70A6A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  <w:tr w:rsidR="00957536" w:rsidRPr="00105C0B" w14:paraId="5B61BD46" w14:textId="77777777" w:rsidTr="00741759">
        <w:trPr>
          <w:trHeight w:val="2070"/>
        </w:trPr>
        <w:tc>
          <w:tcPr>
            <w:tcW w:w="7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9A735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105C0B">
              <w:rPr>
                <w:rFonts w:asciiTheme="minorHAnsi" w:eastAsia="Times New Roman" w:hAnsiTheme="minorHAnsi" w:cs="Times New Roman"/>
                <w:lang w:val="el"/>
              </w:rPr>
              <w:t>2.10</w:t>
            </w:r>
          </w:p>
        </w:tc>
        <w:tc>
          <w:tcPr>
            <w:tcW w:w="2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06CF3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  <w:r w:rsidRPr="00DA2558">
              <w:rPr>
                <w:rFonts w:asciiTheme="minorHAnsi" w:eastAsia="Times New Roman" w:hAnsiTheme="minorHAnsi" w:cs="Times New Roman"/>
              </w:rPr>
              <w:t xml:space="preserve">Δικτυακός εξοπλισμός και καλωδίωση, όπως απαιτείται από την Τεχνική Προσφορά που κατατίθεται, για την πλήρη και ασφαλή λειτουργία όλων των ανωτέρω, περιλαμβανομένων ενδεικτικά και όχι περιοριστικά: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switches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,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patch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panels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>, ικριώματα/κατανεμητές, καλωδίωση Cat.6 ή ανώτερη, ρυθμίσεις VLAN/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QoS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, προστασία γείωσης/υπερτάσεων, ενισχυτές,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audio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interfaces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>, τροφοδοσία μέσω UPS, καθώς και τυχόν πρόσθετος εξοπλισμός αναπαραγωγής περιεχομένου (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stand-alone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media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 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players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>/</w:t>
            </w:r>
            <w:proofErr w:type="spellStart"/>
            <w:r w:rsidRPr="00DA2558">
              <w:rPr>
                <w:rFonts w:asciiTheme="minorHAnsi" w:eastAsia="Times New Roman" w:hAnsiTheme="minorHAnsi" w:cs="Times New Roman"/>
              </w:rPr>
              <w:t>players</w:t>
            </w:r>
            <w:proofErr w:type="spellEnd"/>
            <w:r w:rsidRPr="00DA2558">
              <w:rPr>
                <w:rFonts w:asciiTheme="minorHAnsi" w:eastAsia="Times New Roman" w:hAnsiTheme="minorHAnsi" w:cs="Times New Roman"/>
              </w:rPr>
              <w:t xml:space="preserve">), </w:t>
            </w:r>
            <w:r w:rsidRPr="00417114">
              <w:rPr>
                <w:rFonts w:asciiTheme="minorHAnsi" w:eastAsia="Times New Roman" w:hAnsiTheme="minorHAnsi" w:cs="Times New Roman"/>
                <w:u w:val="single"/>
              </w:rPr>
              <w:t xml:space="preserve">και κάθε απαιτούμενος εξοπλισμός που είναι αναγκαίος για την άρτια και ολοκληρωμένη τεχνική λύση </w:t>
            </w:r>
            <w:r>
              <w:rPr>
                <w:rFonts w:asciiTheme="minorHAnsi" w:eastAsia="Times New Roman" w:hAnsiTheme="minorHAnsi" w:cs="Times New Roman"/>
                <w:u w:val="single"/>
              </w:rPr>
              <w:t>σε πλήρη λειτουργικότητα</w:t>
            </w:r>
            <w:r w:rsidRPr="00417114">
              <w:rPr>
                <w:rFonts w:asciiTheme="minorHAnsi" w:eastAsia="Times New Roman" w:hAnsiTheme="minorHAnsi" w:cs="Times New Roman"/>
                <w:u w:val="single"/>
              </w:rPr>
              <w:t xml:space="preserve"> με τις εφαρμογές</w:t>
            </w:r>
            <w:r>
              <w:rPr>
                <w:rFonts w:asciiTheme="minorHAnsi" w:eastAsia="Times New Roman" w:hAnsiTheme="minorHAnsi" w:cs="Times New Roman"/>
              </w:rPr>
              <w:t>.</w:t>
            </w:r>
          </w:p>
        </w:tc>
        <w:tc>
          <w:tcPr>
            <w:tcW w:w="136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0982B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A870E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  <w:tc>
          <w:tcPr>
            <w:tcW w:w="17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C1154" w14:textId="77777777" w:rsidR="00957536" w:rsidRPr="00105C0B" w:rsidRDefault="00957536" w:rsidP="00741759">
            <w:pPr>
              <w:spacing w:before="240" w:after="120" w:line="276" w:lineRule="auto"/>
              <w:jc w:val="both"/>
              <w:rPr>
                <w:rFonts w:asciiTheme="minorHAnsi" w:eastAsia="Times New Roman" w:hAnsiTheme="minorHAnsi" w:cs="Times New Roman"/>
                <w:lang w:val="el"/>
              </w:rPr>
            </w:pPr>
          </w:p>
        </w:tc>
      </w:tr>
    </w:tbl>
    <w:p w14:paraId="4FA706A3" w14:textId="77777777" w:rsidR="00957536" w:rsidRPr="00105C0B" w:rsidRDefault="00957536" w:rsidP="00957536">
      <w:pPr>
        <w:rPr>
          <w:rFonts w:asciiTheme="minorHAnsi" w:hAnsiTheme="minorHAnsi"/>
          <w:lang w:val="el"/>
        </w:rPr>
      </w:pPr>
    </w:p>
    <w:p w14:paraId="76711275" w14:textId="77777777" w:rsidR="0026036B" w:rsidRPr="00957536" w:rsidRDefault="0026036B">
      <w:pPr>
        <w:rPr>
          <w:lang w:val="el"/>
        </w:rPr>
      </w:pPr>
    </w:p>
    <w:sectPr w:rsidR="0026036B" w:rsidRPr="009575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36"/>
    <w:rsid w:val="0026036B"/>
    <w:rsid w:val="0049224D"/>
    <w:rsid w:val="0060734F"/>
    <w:rsid w:val="00801512"/>
    <w:rsid w:val="009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2C1D"/>
  <w15:chartTrackingRefBased/>
  <w15:docId w15:val="{0D2A80BF-383D-4498-BA86-21AA26E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75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753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753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1"/>
    <w:unhideWhenUsed/>
    <w:qFormat/>
    <w:rsid w:val="0095753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753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753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753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753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753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753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7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7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7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75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75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75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75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75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7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753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5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753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5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753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575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753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9575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75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575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7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1</cp:revision>
  <dcterms:created xsi:type="dcterms:W3CDTF">2026-03-18T11:56:00Z</dcterms:created>
  <dcterms:modified xsi:type="dcterms:W3CDTF">2026-03-18T11:58:00Z</dcterms:modified>
</cp:coreProperties>
</file>